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3F61" w14:textId="72DEF162" w:rsidR="003A7799" w:rsidRPr="00420B2F" w:rsidRDefault="00907E9E" w:rsidP="00420B2F">
      <w:pPr>
        <w:rPr>
          <w:rFonts w:ascii="Verdana" w:hAnsi="Verdana"/>
          <w:color w:val="000033"/>
        </w:rPr>
      </w:pPr>
      <w:r>
        <w:rPr>
          <w:noProof/>
        </w:rPr>
        <mc:AlternateContent>
          <mc:Choice Requires="wps">
            <w:drawing>
              <wp:anchor distT="0" distB="0" distL="114300" distR="114300" simplePos="0" relativeHeight="251659264" behindDoc="0" locked="0" layoutInCell="1" allowOverlap="1" wp14:anchorId="20D9E83B" wp14:editId="647A67B5">
                <wp:simplePos x="0" y="0"/>
                <wp:positionH relativeFrom="column">
                  <wp:posOffset>1365662</wp:posOffset>
                </wp:positionH>
                <wp:positionV relativeFrom="paragraph">
                  <wp:posOffset>961902</wp:posOffset>
                </wp:positionV>
                <wp:extent cx="7069873" cy="349955"/>
                <wp:effectExtent l="0" t="0" r="4445" b="5715"/>
                <wp:wrapNone/>
                <wp:docPr id="9" name="Text Box 9"/>
                <wp:cNvGraphicFramePr/>
                <a:graphic xmlns:a="http://schemas.openxmlformats.org/drawingml/2006/main">
                  <a:graphicData uri="http://schemas.microsoft.com/office/word/2010/wordprocessingShape">
                    <wps:wsp>
                      <wps:cNvSpPr txBox="1"/>
                      <wps:spPr>
                        <a:xfrm>
                          <a:off x="0" y="0"/>
                          <a:ext cx="7069873" cy="349955"/>
                        </a:xfrm>
                        <a:prstGeom prst="rect">
                          <a:avLst/>
                        </a:prstGeom>
                        <a:solidFill>
                          <a:schemeClr val="lt1"/>
                        </a:solidFill>
                        <a:ln w="6350">
                          <a:noFill/>
                        </a:ln>
                      </wps:spPr>
                      <wps:txbx>
                        <w:txbxContent>
                          <w:tbl>
                            <w:tblPr>
                              <w:tblStyle w:val="TableGrid"/>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127"/>
                              <w:gridCol w:w="1033"/>
                              <w:gridCol w:w="1260"/>
                              <w:gridCol w:w="1080"/>
                              <w:gridCol w:w="1440"/>
                              <w:gridCol w:w="990"/>
                              <w:gridCol w:w="1260"/>
                              <w:gridCol w:w="1260"/>
                            </w:tblGrid>
                            <w:tr w:rsidR="00907E9E" w14:paraId="3B85B145" w14:textId="77777777" w:rsidTr="006C2FA7">
                              <w:tc>
                                <w:tcPr>
                                  <w:tcW w:w="900" w:type="dxa"/>
                                </w:tcPr>
                                <w:p w14:paraId="0FEB72D6" w14:textId="77777777" w:rsidR="00907E9E" w:rsidRDefault="00907E9E" w:rsidP="00B04D0F">
                                  <w:pPr>
                                    <w:jc w:val="center"/>
                                  </w:pPr>
                                  <w:r>
                                    <w:t xml:space="preserve">About </w:t>
                                  </w:r>
                                </w:p>
                              </w:tc>
                              <w:tc>
                                <w:tcPr>
                                  <w:tcW w:w="1127" w:type="dxa"/>
                                </w:tcPr>
                                <w:p w14:paraId="56A142FF" w14:textId="77777777" w:rsidR="00907E9E" w:rsidRDefault="00907E9E" w:rsidP="00B04D0F">
                                  <w:pPr>
                                    <w:jc w:val="center"/>
                                  </w:pPr>
                                  <w:r>
                                    <w:t>Calendar</w:t>
                                  </w:r>
                                </w:p>
                              </w:tc>
                              <w:tc>
                                <w:tcPr>
                                  <w:tcW w:w="1033" w:type="dxa"/>
                                </w:tcPr>
                                <w:p w14:paraId="039426E1" w14:textId="77777777" w:rsidR="00907E9E" w:rsidRDefault="00907E9E" w:rsidP="00B04D0F">
                                  <w:r>
                                    <w:t>Vote</w:t>
                                  </w:r>
                                </w:p>
                              </w:tc>
                              <w:tc>
                                <w:tcPr>
                                  <w:tcW w:w="1260" w:type="dxa"/>
                                </w:tcPr>
                                <w:p w14:paraId="65A42AFA" w14:textId="77777777" w:rsidR="00907E9E" w:rsidRDefault="00907E9E" w:rsidP="00B04D0F">
                                  <w:r>
                                    <w:t>Volunteer</w:t>
                                  </w:r>
                                </w:p>
                              </w:tc>
                              <w:tc>
                                <w:tcPr>
                                  <w:tcW w:w="1080" w:type="dxa"/>
                                </w:tcPr>
                                <w:p w14:paraId="66119D39" w14:textId="77777777" w:rsidR="00907E9E" w:rsidRDefault="00907E9E" w:rsidP="00B04D0F">
                                  <w:r>
                                    <w:t>Learn</w:t>
                                  </w:r>
                                </w:p>
                              </w:tc>
                              <w:tc>
                                <w:tcPr>
                                  <w:tcW w:w="1440" w:type="dxa"/>
                                </w:tcPr>
                                <w:p w14:paraId="4CC97CD5" w14:textId="77777777" w:rsidR="00907E9E" w:rsidRDefault="00907E9E" w:rsidP="00B04D0F">
                                  <w:r>
                                    <w:t>Contact</w:t>
                                  </w:r>
                                </w:p>
                              </w:tc>
                              <w:tc>
                                <w:tcPr>
                                  <w:tcW w:w="990" w:type="dxa"/>
                                </w:tcPr>
                                <w:p w14:paraId="68C6CB26" w14:textId="77777777" w:rsidR="00907E9E" w:rsidRDefault="00907E9E" w:rsidP="00B04D0F">
                                  <w:r>
                                    <w:t>Join</w:t>
                                  </w:r>
                                </w:p>
                              </w:tc>
                              <w:tc>
                                <w:tcPr>
                                  <w:tcW w:w="1260" w:type="dxa"/>
                                </w:tcPr>
                                <w:p w14:paraId="2D6C4D7E" w14:textId="77777777" w:rsidR="00907E9E" w:rsidRDefault="00907E9E" w:rsidP="00B04D0F">
                                  <w:r>
                                    <w:t>Donate</w:t>
                                  </w:r>
                                </w:p>
                              </w:tc>
                              <w:tc>
                                <w:tcPr>
                                  <w:tcW w:w="1260" w:type="dxa"/>
                                </w:tcPr>
                                <w:p w14:paraId="2EE5A8B3" w14:textId="77777777" w:rsidR="00907E9E" w:rsidRDefault="00907E9E" w:rsidP="00B04D0F">
                                  <w:r>
                                    <w:t>Login</w:t>
                                  </w:r>
                                </w:p>
                              </w:tc>
                            </w:tr>
                          </w:tbl>
                          <w:p w14:paraId="12EE8088" w14:textId="77777777" w:rsidR="00907E9E" w:rsidRDefault="00907E9E" w:rsidP="00907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D9E83B" id="_x0000_t202" coordsize="21600,21600" o:spt="202" path="m,l,21600r21600,l21600,xe">
                <v:stroke joinstyle="miter"/>
                <v:path gradientshapeok="t" o:connecttype="rect"/>
              </v:shapetype>
              <v:shape id="Text Box 9" o:spid="_x0000_s1026" type="#_x0000_t202" style="position:absolute;margin-left:107.55pt;margin-top:75.75pt;width:556.7pt;height:2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" fillcolor="white [3201]" stroked="f" strokeweight=".5pt">
                <v:textbox>
                  <w:txbxContent>
                    <w:tbl>
                      <w:tblPr>
                        <w:tblStyle w:val="TableGrid"/>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127"/>
                        <w:gridCol w:w="1033"/>
                        <w:gridCol w:w="1260"/>
                        <w:gridCol w:w="1080"/>
                        <w:gridCol w:w="1440"/>
                        <w:gridCol w:w="990"/>
                        <w:gridCol w:w="1260"/>
                        <w:gridCol w:w="1260"/>
                      </w:tblGrid>
                      <w:tr w:rsidR="00907E9E" w14:paraId="3B85B145" w14:textId="77777777" w:rsidTr="006C2FA7">
                        <w:tc>
                          <w:tcPr>
                            <w:tcW w:w="900" w:type="dxa"/>
                          </w:tcPr>
                          <w:p w14:paraId="0FEB72D6" w14:textId="77777777" w:rsidR="00907E9E" w:rsidRDefault="00907E9E" w:rsidP="00B04D0F">
                            <w:pPr>
                              <w:jc w:val="center"/>
                            </w:pPr>
                            <w:r>
                              <w:t xml:space="preserve">About </w:t>
                            </w:r>
                          </w:p>
                        </w:tc>
                        <w:tc>
                          <w:tcPr>
                            <w:tcW w:w="1127" w:type="dxa"/>
                          </w:tcPr>
                          <w:p w14:paraId="56A142FF" w14:textId="77777777" w:rsidR="00907E9E" w:rsidRDefault="00907E9E" w:rsidP="00B04D0F">
                            <w:pPr>
                              <w:jc w:val="center"/>
                            </w:pPr>
                            <w:r>
                              <w:t>Calendar</w:t>
                            </w:r>
                          </w:p>
                        </w:tc>
                        <w:tc>
                          <w:tcPr>
                            <w:tcW w:w="1033" w:type="dxa"/>
                          </w:tcPr>
                          <w:p w14:paraId="039426E1" w14:textId="77777777" w:rsidR="00907E9E" w:rsidRDefault="00907E9E" w:rsidP="00B04D0F">
                            <w:r>
                              <w:t>Vote</w:t>
                            </w:r>
                          </w:p>
                        </w:tc>
                        <w:tc>
                          <w:tcPr>
                            <w:tcW w:w="1260" w:type="dxa"/>
                          </w:tcPr>
                          <w:p w14:paraId="65A42AFA" w14:textId="77777777" w:rsidR="00907E9E" w:rsidRDefault="00907E9E" w:rsidP="00B04D0F">
                            <w:r>
                              <w:t>Volunteer</w:t>
                            </w:r>
                          </w:p>
                        </w:tc>
                        <w:tc>
                          <w:tcPr>
                            <w:tcW w:w="1080" w:type="dxa"/>
                          </w:tcPr>
                          <w:p w14:paraId="66119D39" w14:textId="77777777" w:rsidR="00907E9E" w:rsidRDefault="00907E9E" w:rsidP="00B04D0F">
                            <w:r>
                              <w:t>Learn</w:t>
                            </w:r>
                          </w:p>
                        </w:tc>
                        <w:tc>
                          <w:tcPr>
                            <w:tcW w:w="1440" w:type="dxa"/>
                          </w:tcPr>
                          <w:p w14:paraId="4CC97CD5" w14:textId="77777777" w:rsidR="00907E9E" w:rsidRDefault="00907E9E" w:rsidP="00B04D0F">
                            <w:r>
                              <w:t>Contact</w:t>
                            </w:r>
                          </w:p>
                        </w:tc>
                        <w:tc>
                          <w:tcPr>
                            <w:tcW w:w="990" w:type="dxa"/>
                          </w:tcPr>
                          <w:p w14:paraId="68C6CB26" w14:textId="77777777" w:rsidR="00907E9E" w:rsidRDefault="00907E9E" w:rsidP="00B04D0F">
                            <w:r>
                              <w:t>Join</w:t>
                            </w:r>
                          </w:p>
                        </w:tc>
                        <w:tc>
                          <w:tcPr>
                            <w:tcW w:w="1260" w:type="dxa"/>
                          </w:tcPr>
                          <w:p w14:paraId="2D6C4D7E" w14:textId="77777777" w:rsidR="00907E9E" w:rsidRDefault="00907E9E" w:rsidP="00B04D0F">
                            <w:r>
                              <w:t>Donate</w:t>
                            </w:r>
                          </w:p>
                        </w:tc>
                        <w:tc>
                          <w:tcPr>
                            <w:tcW w:w="1260" w:type="dxa"/>
                          </w:tcPr>
                          <w:p w14:paraId="2EE5A8B3" w14:textId="77777777" w:rsidR="00907E9E" w:rsidRDefault="00907E9E" w:rsidP="00B04D0F">
                            <w:r>
                              <w:t>Login</w:t>
                            </w:r>
                          </w:p>
                        </w:tc>
                      </w:tr>
                    </w:tbl>
                    <w:p w14:paraId="12EE8088" w14:textId="77777777" w:rsidR="00907E9E" w:rsidRDefault="00907E9E" w:rsidP="00907E9E"/>
                  </w:txbxContent>
                </v:textbox>
              </v:shape>
            </w:pict>
          </mc:Fallback>
        </mc:AlternateContent>
      </w:r>
      <w:r w:rsidR="00A319DD">
        <w:rPr>
          <w:b/>
          <w:bCs/>
          <w:noProof/>
          <w:sz w:val="48"/>
          <w:szCs w:val="48"/>
        </w:rPr>
        <w:drawing>
          <wp:inline distT="0" distB="0" distL="0" distR="0" wp14:anchorId="25FCA5BD" wp14:editId="6419D318">
            <wp:extent cx="5943600" cy="116713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inline>
        </w:drawing>
      </w:r>
    </w:p>
    <w:p w14:paraId="081B2621" w14:textId="542D63E6" w:rsidR="00420B2F" w:rsidRDefault="0003449C" w:rsidP="00A70BFF">
      <w:pPr>
        <w:pStyle w:val="Heading2"/>
        <w:shd w:val="clear" w:color="auto" w:fill="FFFFFF"/>
        <w:rPr>
          <w:rFonts w:asciiTheme="minorHAnsi" w:eastAsiaTheme="minorHAnsi" w:hAnsiTheme="minorHAnsi" w:cstheme="minorBidi"/>
          <w:color w:val="185692"/>
          <w:sz w:val="32"/>
          <w:szCs w:val="32"/>
        </w:rPr>
      </w:pPr>
      <w:r>
        <w:rPr>
          <w:rFonts w:asciiTheme="minorHAnsi" w:eastAsiaTheme="minorHAnsi" w:hAnsiTheme="minorHAnsi" w:cstheme="minorBidi"/>
          <w:noProof/>
          <w:color w:val="185692"/>
          <w:sz w:val="32"/>
          <w:szCs w:val="32"/>
        </w:rPr>
        <w:drawing>
          <wp:anchor distT="0" distB="0" distL="114300" distR="114300" simplePos="0" relativeHeight="251660288" behindDoc="1" locked="0" layoutInCell="1" allowOverlap="1" wp14:anchorId="158DB8B2" wp14:editId="63DBECC2">
            <wp:simplePos x="0" y="0"/>
            <wp:positionH relativeFrom="column">
              <wp:posOffset>5212831</wp:posOffset>
            </wp:positionH>
            <wp:positionV relativeFrom="paragraph">
              <wp:posOffset>612775</wp:posOffset>
            </wp:positionV>
            <wp:extent cx="3289300" cy="2809875"/>
            <wp:effectExtent l="0" t="0" r="0" b="0"/>
            <wp:wrapTight wrapText="bothSides">
              <wp:wrapPolygon edited="0">
                <wp:start x="0" y="0"/>
                <wp:lineTo x="0" y="21478"/>
                <wp:lineTo x="21517" y="21478"/>
                <wp:lineTo x="21517" y="0"/>
                <wp:lineTo x="0" y="0"/>
              </wp:wrapPolygon>
            </wp:wrapTight>
            <wp:docPr id="1" name="Picture 1" descr="A person standing next to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table&#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7193" t="3996" r="17578" b="10275"/>
                    <a:stretch/>
                  </pic:blipFill>
                  <pic:spPr bwMode="auto">
                    <a:xfrm>
                      <a:off x="0" y="0"/>
                      <a:ext cx="3289300" cy="280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B2F">
        <w:rPr>
          <w:rFonts w:asciiTheme="minorHAnsi" w:eastAsiaTheme="minorHAnsi" w:hAnsiTheme="minorHAnsi" w:cstheme="minorBidi"/>
          <w:color w:val="185692"/>
          <w:sz w:val="48"/>
          <w:szCs w:val="48"/>
        </w:rPr>
        <w:t xml:space="preserve">NON-PARTISAN </w:t>
      </w:r>
      <w:r w:rsidR="00A70BFF">
        <w:rPr>
          <w:rFonts w:asciiTheme="minorHAnsi" w:eastAsiaTheme="minorHAnsi" w:hAnsiTheme="minorHAnsi" w:cstheme="minorBidi"/>
          <w:color w:val="185692"/>
          <w:sz w:val="48"/>
          <w:szCs w:val="48"/>
        </w:rPr>
        <w:t>POLIC</w:t>
      </w:r>
      <w:r w:rsidR="00420B2F">
        <w:rPr>
          <w:rFonts w:asciiTheme="minorHAnsi" w:eastAsiaTheme="minorHAnsi" w:hAnsiTheme="minorHAnsi" w:cstheme="minorBidi"/>
          <w:color w:val="185692"/>
          <w:sz w:val="48"/>
          <w:szCs w:val="48"/>
        </w:rPr>
        <w:t>Y</w:t>
      </w:r>
    </w:p>
    <w:p w14:paraId="3D2B87BD" w14:textId="5DEC7ABC" w:rsidR="00420B2F" w:rsidRPr="00420B2F" w:rsidRDefault="00420B2F" w:rsidP="00420B2F">
      <w:pPr>
        <w:pStyle w:val="Heading2"/>
        <w:shd w:val="clear" w:color="auto" w:fill="FFFFFF"/>
        <w:rPr>
          <w:rFonts w:asciiTheme="minorHAnsi" w:eastAsiaTheme="minorHAnsi" w:hAnsiTheme="minorHAnsi" w:cstheme="minorBidi"/>
          <w:color w:val="185692"/>
          <w:sz w:val="32"/>
          <w:szCs w:val="32"/>
        </w:rPr>
      </w:pPr>
      <w:r>
        <w:rPr>
          <w:rFonts w:asciiTheme="minorHAnsi" w:eastAsiaTheme="minorHAnsi" w:hAnsiTheme="minorHAnsi" w:cstheme="minorBidi"/>
          <w:color w:val="185692"/>
          <w:sz w:val="32"/>
          <w:szCs w:val="32"/>
        </w:rPr>
        <w:t>A</w:t>
      </w:r>
      <w:r w:rsidRPr="00420B2F">
        <w:rPr>
          <w:rFonts w:asciiTheme="minorHAnsi" w:eastAsiaTheme="minorHAnsi" w:hAnsiTheme="minorHAnsi" w:cstheme="minorBidi"/>
          <w:color w:val="185692"/>
          <w:sz w:val="32"/>
          <w:szCs w:val="32"/>
        </w:rPr>
        <w:t>pproved Fall 1988; reviewed October 27, 2012</w:t>
      </w:r>
    </w:p>
    <w:p w14:paraId="4A033254" w14:textId="3BC2F4E7" w:rsidR="00420B2F" w:rsidRDefault="00420B2F" w:rsidP="00420B2F">
      <w:pPr>
        <w:pStyle w:val="NormalWeb"/>
        <w:numPr>
          <w:ilvl w:val="0"/>
          <w:numId w:val="6"/>
        </w:numPr>
        <w:shd w:val="clear" w:color="auto" w:fill="FFFFFF"/>
        <w:spacing w:before="0" w:beforeAutospacing="0" w:after="120" w:afterAutospacing="0"/>
        <w:rPr>
          <w:rFonts w:ascii="Verdana" w:hAnsi="Verdana"/>
          <w:color w:val="000033"/>
        </w:rPr>
      </w:pPr>
      <w:r>
        <w:rPr>
          <w:rFonts w:ascii="Verdana" w:hAnsi="Verdana"/>
          <w:color w:val="000033"/>
        </w:rPr>
        <w:t>The League of Women Voters-Rochester Metropolitan Area is a nonpartisan organization which does not support or oppose any political party or candidate.  In order to avoid public confusion of an individual’s activities with those of the League, each board member should exercise discretion and refrain from any activities which might make it appear that the League is supporting or opposing a party or candidate.</w:t>
      </w:r>
    </w:p>
    <w:p w14:paraId="77AEA418" w14:textId="77777777" w:rsidR="00420B2F" w:rsidRDefault="00420B2F" w:rsidP="00420B2F">
      <w:pPr>
        <w:pStyle w:val="NormalWeb"/>
        <w:numPr>
          <w:ilvl w:val="0"/>
          <w:numId w:val="6"/>
        </w:numPr>
        <w:shd w:val="clear" w:color="auto" w:fill="FFFFFF"/>
        <w:spacing w:before="0" w:beforeAutospacing="0" w:after="120" w:afterAutospacing="0"/>
        <w:rPr>
          <w:rFonts w:ascii="Verdana" w:hAnsi="Verdana"/>
          <w:color w:val="000033"/>
        </w:rPr>
      </w:pPr>
      <w:r>
        <w:rPr>
          <w:rFonts w:ascii="Verdana" w:hAnsi="Verdana"/>
          <w:color w:val="000033"/>
        </w:rPr>
        <w:t>It is the responsibility of each individual concerned to inform the board of any political activities being considered, and it is the responsibility of the board to decide when an individual must resign because of such activities.</w:t>
      </w:r>
    </w:p>
    <w:p w14:paraId="01DA15EC" w14:textId="77777777" w:rsidR="00420B2F" w:rsidRDefault="00420B2F" w:rsidP="00420B2F">
      <w:pPr>
        <w:pStyle w:val="NormalWeb"/>
        <w:numPr>
          <w:ilvl w:val="0"/>
          <w:numId w:val="6"/>
        </w:numPr>
        <w:shd w:val="clear" w:color="auto" w:fill="FFFFFF"/>
        <w:spacing w:before="0" w:beforeAutospacing="0" w:after="120" w:afterAutospacing="0"/>
        <w:rPr>
          <w:rFonts w:ascii="Verdana" w:hAnsi="Verdana"/>
          <w:color w:val="000033"/>
        </w:rPr>
      </w:pPr>
      <w:r>
        <w:rPr>
          <w:rFonts w:ascii="Verdana" w:hAnsi="Verdana"/>
          <w:color w:val="000033"/>
        </w:rPr>
        <w:t>It is also the responsibility of the president to remind the nominating committee to discuss the League’s nonpartisanship policy with potential nominees.</w:t>
      </w:r>
    </w:p>
    <w:p w14:paraId="6C090ABC" w14:textId="77777777" w:rsidR="00420B2F" w:rsidRDefault="00420B2F" w:rsidP="00420B2F">
      <w:pPr>
        <w:pStyle w:val="NormalWeb"/>
        <w:numPr>
          <w:ilvl w:val="0"/>
          <w:numId w:val="6"/>
        </w:numPr>
        <w:shd w:val="clear" w:color="auto" w:fill="FFFFFF"/>
        <w:spacing w:before="0" w:beforeAutospacing="0" w:after="120" w:afterAutospacing="0"/>
        <w:rPr>
          <w:rFonts w:ascii="Verdana" w:hAnsi="Verdana"/>
          <w:color w:val="000033"/>
        </w:rPr>
      </w:pPr>
      <w:r>
        <w:rPr>
          <w:rFonts w:ascii="Verdana" w:hAnsi="Verdana"/>
          <w:color w:val="000033"/>
        </w:rPr>
        <w:t>To aid in deciding what activities are appropriate, the following guidelines have been adopted for League board members:</w:t>
      </w:r>
    </w:p>
    <w:p w14:paraId="2D0FAF64"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Pr>
          <w:rFonts w:ascii="Verdana" w:hAnsi="Verdana"/>
          <w:color w:val="000033"/>
        </w:rPr>
        <w:lastRenderedPageBreak/>
        <w:t>May not run for partisan public office, may not work publicly for candidates in partisan elections, and may not work publicly for a political party.</w:t>
      </w:r>
    </w:p>
    <w:p w14:paraId="302F7275"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May attend, but may not hostess, coffees or meetings for individual partisan candidates</w:t>
      </w:r>
    </w:p>
    <w:p w14:paraId="6896FE37"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May contribute a modest amount to any candidate or party.</w:t>
      </w:r>
    </w:p>
    <w:p w14:paraId="7232FB80"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Board members may attend fund raising activities with the exception of the president, vice presidents, the action director, the voters service director.</w:t>
      </w:r>
    </w:p>
    <w:p w14:paraId="46A05E6B"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May sign petitions for candidates or issues but may not carry a petition for a candidate</w:t>
      </w:r>
    </w:p>
    <w:p w14:paraId="6FF432A7"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May work as an election inspector but may not be a poll watcher for a candidate.</w:t>
      </w:r>
    </w:p>
    <w:p w14:paraId="2F3CB757" w14:textId="77777777" w:rsid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If there is a question of whether an action might compromise the nonpartisan policy, consult with the President.</w:t>
      </w:r>
    </w:p>
    <w:p w14:paraId="2687B31C" w14:textId="314C256C" w:rsidR="00420B2F" w:rsidRPr="00420B2F" w:rsidRDefault="00420B2F" w:rsidP="00420B2F">
      <w:pPr>
        <w:pStyle w:val="NormalWeb"/>
        <w:numPr>
          <w:ilvl w:val="0"/>
          <w:numId w:val="7"/>
        </w:numPr>
        <w:shd w:val="clear" w:color="auto" w:fill="FFFFFF"/>
        <w:spacing w:before="0" w:beforeAutospacing="0" w:after="60" w:afterAutospacing="0"/>
        <w:rPr>
          <w:rFonts w:ascii="Verdana" w:hAnsi="Verdana"/>
          <w:color w:val="000033"/>
        </w:rPr>
      </w:pPr>
      <w:r w:rsidRPr="00420B2F">
        <w:rPr>
          <w:rFonts w:ascii="Verdana" w:hAnsi="Verdana"/>
          <w:color w:val="000033"/>
        </w:rPr>
        <w:t>If a director serves for only part of a year, observation of the</w:t>
      </w:r>
      <w:r>
        <w:rPr>
          <w:rFonts w:ascii="Verdana" w:hAnsi="Verdana"/>
          <w:color w:val="000033"/>
        </w:rPr>
        <w:t xml:space="preserve"> </w:t>
      </w:r>
      <w:r w:rsidRPr="00420B2F">
        <w:rPr>
          <w:rFonts w:ascii="Verdana" w:hAnsi="Verdana"/>
          <w:color w:val="000033"/>
        </w:rPr>
        <w:t xml:space="preserve"> nonpartisanship policy is required only for the duration of the time that the director holds that office.</w:t>
      </w:r>
    </w:p>
    <w:p w14:paraId="3EEF11BD" w14:textId="77777777" w:rsidR="00420B2F" w:rsidRDefault="00420B2F" w:rsidP="00420B2F">
      <w:pPr>
        <w:pStyle w:val="NormalWeb"/>
        <w:numPr>
          <w:ilvl w:val="0"/>
          <w:numId w:val="6"/>
        </w:numPr>
        <w:shd w:val="clear" w:color="auto" w:fill="FFFFFF"/>
        <w:spacing w:before="0" w:beforeAutospacing="0" w:after="120" w:afterAutospacing="0"/>
        <w:rPr>
          <w:rFonts w:ascii="Verdana" w:hAnsi="Verdana"/>
          <w:color w:val="000033"/>
        </w:rPr>
      </w:pPr>
      <w:r>
        <w:rPr>
          <w:rFonts w:ascii="Verdana" w:hAnsi="Verdana"/>
          <w:color w:val="000033"/>
        </w:rPr>
        <w:t>The political activities of a spouse or family member are considered as separate and distinct from the activities of a League board member.</w:t>
      </w:r>
    </w:p>
    <w:p w14:paraId="748864F6" w14:textId="77777777" w:rsidR="00420B2F" w:rsidRDefault="00420B2F" w:rsidP="00420B2F">
      <w:pPr>
        <w:pStyle w:val="NormalWeb"/>
        <w:numPr>
          <w:ilvl w:val="0"/>
          <w:numId w:val="6"/>
        </w:numPr>
        <w:shd w:val="clear" w:color="auto" w:fill="FFFFFF"/>
        <w:spacing w:before="0" w:beforeAutospacing="0" w:after="120" w:afterAutospacing="0"/>
        <w:rPr>
          <w:rFonts w:ascii="Verdana" w:hAnsi="Verdana"/>
          <w:color w:val="000033"/>
        </w:rPr>
      </w:pPr>
      <w:r>
        <w:rPr>
          <w:rFonts w:ascii="Verdana" w:hAnsi="Verdana"/>
          <w:color w:val="000033"/>
        </w:rPr>
        <w:t>A League board member who wishes to actively support a candidate or engage in partisan politics must resign.  When such a resignation occurs, care should be taken to be sure that the attendant publicity does not create a partisan impression.  Those who have resigned may serve on the board at a future date when no longer involved in political activity.</w:t>
      </w:r>
    </w:p>
    <w:sectPr w:rsidR="00420B2F" w:rsidSect="00907E9E">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74C"/>
    <w:multiLevelType w:val="multilevel"/>
    <w:tmpl w:val="6234C4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D1542C8"/>
    <w:multiLevelType w:val="multilevel"/>
    <w:tmpl w:val="83A6EE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12B05"/>
    <w:multiLevelType w:val="multilevel"/>
    <w:tmpl w:val="2294D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03B8E"/>
    <w:multiLevelType w:val="multilevel"/>
    <w:tmpl w:val="ED3A4C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ED41702"/>
    <w:multiLevelType w:val="multilevel"/>
    <w:tmpl w:val="B6EE38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B0AB9"/>
    <w:multiLevelType w:val="multilevel"/>
    <w:tmpl w:val="F76212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02763"/>
    <w:multiLevelType w:val="multilevel"/>
    <w:tmpl w:val="94562D14"/>
    <w:lvl w:ilvl="0">
      <w:start w:val="1"/>
      <w:numFmt w:val="lowerLetter"/>
      <w:lvlText w:val="%1."/>
      <w:lvlJc w:val="left"/>
      <w:pPr>
        <w:ind w:left="1440" w:hanging="360"/>
      </w:pPr>
    </w:lvl>
    <w:lvl w:ilvl="1" w:tentative="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num w:numId="1" w16cid:durableId="319231532">
    <w:abstractNumId w:val="1"/>
  </w:num>
  <w:num w:numId="2" w16cid:durableId="1043020933">
    <w:abstractNumId w:val="5"/>
  </w:num>
  <w:num w:numId="3" w16cid:durableId="2113548905">
    <w:abstractNumId w:val="2"/>
  </w:num>
  <w:num w:numId="4" w16cid:durableId="242833277">
    <w:abstractNumId w:val="4"/>
  </w:num>
  <w:num w:numId="5" w16cid:durableId="1319534199">
    <w:abstractNumId w:val="0"/>
  </w:num>
  <w:num w:numId="6" w16cid:durableId="1261377779">
    <w:abstractNumId w:val="3"/>
  </w:num>
  <w:num w:numId="7" w16cid:durableId="1302466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99"/>
    <w:rsid w:val="0003449C"/>
    <w:rsid w:val="00107403"/>
    <w:rsid w:val="00340F66"/>
    <w:rsid w:val="00353BE0"/>
    <w:rsid w:val="003A7799"/>
    <w:rsid w:val="00420B2F"/>
    <w:rsid w:val="004753AC"/>
    <w:rsid w:val="00580608"/>
    <w:rsid w:val="00907E9E"/>
    <w:rsid w:val="00A319DD"/>
    <w:rsid w:val="00A70BFF"/>
    <w:rsid w:val="00D20673"/>
    <w:rsid w:val="00F064C7"/>
    <w:rsid w:val="00F1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9A48"/>
  <w15:chartTrackingRefBased/>
  <w15:docId w15:val="{11007AA3-C324-E448-8FBF-E44BF5E8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77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7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7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779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A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4378">
      <w:bodyDiv w:val="1"/>
      <w:marLeft w:val="0"/>
      <w:marRight w:val="0"/>
      <w:marTop w:val="0"/>
      <w:marBottom w:val="0"/>
      <w:divBdr>
        <w:top w:val="none" w:sz="0" w:space="0" w:color="auto"/>
        <w:left w:val="none" w:sz="0" w:space="0" w:color="auto"/>
        <w:bottom w:val="none" w:sz="0" w:space="0" w:color="auto"/>
        <w:right w:val="none" w:sz="0" w:space="0" w:color="auto"/>
      </w:divBdr>
    </w:div>
    <w:div w:id="383526006">
      <w:bodyDiv w:val="1"/>
      <w:marLeft w:val="0"/>
      <w:marRight w:val="0"/>
      <w:marTop w:val="0"/>
      <w:marBottom w:val="0"/>
      <w:divBdr>
        <w:top w:val="none" w:sz="0" w:space="0" w:color="auto"/>
        <w:left w:val="none" w:sz="0" w:space="0" w:color="auto"/>
        <w:bottom w:val="none" w:sz="0" w:space="0" w:color="auto"/>
        <w:right w:val="none" w:sz="0" w:space="0" w:color="auto"/>
      </w:divBdr>
    </w:div>
    <w:div w:id="755633222">
      <w:bodyDiv w:val="1"/>
      <w:marLeft w:val="0"/>
      <w:marRight w:val="0"/>
      <w:marTop w:val="0"/>
      <w:marBottom w:val="0"/>
      <w:divBdr>
        <w:top w:val="none" w:sz="0" w:space="0" w:color="auto"/>
        <w:left w:val="none" w:sz="0" w:space="0" w:color="auto"/>
        <w:bottom w:val="none" w:sz="0" w:space="0" w:color="auto"/>
        <w:right w:val="none" w:sz="0" w:space="0" w:color="auto"/>
      </w:divBdr>
    </w:div>
    <w:div w:id="860553497">
      <w:bodyDiv w:val="1"/>
      <w:marLeft w:val="0"/>
      <w:marRight w:val="0"/>
      <w:marTop w:val="0"/>
      <w:marBottom w:val="0"/>
      <w:divBdr>
        <w:top w:val="none" w:sz="0" w:space="0" w:color="auto"/>
        <w:left w:val="none" w:sz="0" w:space="0" w:color="auto"/>
        <w:bottom w:val="none" w:sz="0" w:space="0" w:color="auto"/>
        <w:right w:val="none" w:sz="0" w:space="0" w:color="auto"/>
      </w:divBdr>
    </w:div>
    <w:div w:id="1185053185">
      <w:bodyDiv w:val="1"/>
      <w:marLeft w:val="0"/>
      <w:marRight w:val="0"/>
      <w:marTop w:val="0"/>
      <w:marBottom w:val="0"/>
      <w:divBdr>
        <w:top w:val="none" w:sz="0" w:space="0" w:color="auto"/>
        <w:left w:val="none" w:sz="0" w:space="0" w:color="auto"/>
        <w:bottom w:val="none" w:sz="0" w:space="0" w:color="auto"/>
        <w:right w:val="none" w:sz="0" w:space="0" w:color="auto"/>
      </w:divBdr>
    </w:div>
    <w:div w:id="1195658331">
      <w:bodyDiv w:val="1"/>
      <w:marLeft w:val="0"/>
      <w:marRight w:val="0"/>
      <w:marTop w:val="0"/>
      <w:marBottom w:val="0"/>
      <w:divBdr>
        <w:top w:val="none" w:sz="0" w:space="0" w:color="auto"/>
        <w:left w:val="none" w:sz="0" w:space="0" w:color="auto"/>
        <w:bottom w:val="none" w:sz="0" w:space="0" w:color="auto"/>
        <w:right w:val="none" w:sz="0" w:space="0" w:color="auto"/>
      </w:divBdr>
    </w:div>
    <w:div w:id="1981375295">
      <w:bodyDiv w:val="1"/>
      <w:marLeft w:val="0"/>
      <w:marRight w:val="0"/>
      <w:marTop w:val="0"/>
      <w:marBottom w:val="0"/>
      <w:divBdr>
        <w:top w:val="none" w:sz="0" w:space="0" w:color="auto"/>
        <w:left w:val="none" w:sz="0" w:space="0" w:color="auto"/>
        <w:bottom w:val="none" w:sz="0" w:space="0" w:color="auto"/>
        <w:right w:val="none" w:sz="0" w:space="0" w:color="auto"/>
      </w:divBdr>
    </w:div>
    <w:div w:id="2016762301">
      <w:bodyDiv w:val="1"/>
      <w:marLeft w:val="0"/>
      <w:marRight w:val="0"/>
      <w:marTop w:val="0"/>
      <w:marBottom w:val="0"/>
      <w:divBdr>
        <w:top w:val="none" w:sz="0" w:space="0" w:color="auto"/>
        <w:left w:val="none" w:sz="0" w:space="0" w:color="auto"/>
        <w:bottom w:val="none" w:sz="0" w:space="0" w:color="auto"/>
        <w:right w:val="none" w:sz="0" w:space="0" w:color="auto"/>
      </w:divBdr>
    </w:div>
    <w:div w:id="21470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Pelz</dc:creator>
  <cp:keywords/>
  <dc:description/>
  <cp:lastModifiedBy>Myra Pelz</cp:lastModifiedBy>
  <cp:revision>6</cp:revision>
  <dcterms:created xsi:type="dcterms:W3CDTF">2022-05-25T22:55:00Z</dcterms:created>
  <dcterms:modified xsi:type="dcterms:W3CDTF">2022-06-10T15:34:00Z</dcterms:modified>
</cp:coreProperties>
</file>